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7C5" w:rsidRDefault="00070C9F">
      <w:r>
        <w:t>EPSY 8226: Item Response Theory</w:t>
      </w:r>
    </w:p>
    <w:p w:rsidR="00070C9F" w:rsidRDefault="00070C9F" w:rsidP="00547D15">
      <w:pPr>
        <w:pBdr>
          <w:bottom w:val="single" w:sz="4" w:space="1" w:color="auto"/>
        </w:pBdr>
      </w:pPr>
      <w:r>
        <w:t>Scoring</w:t>
      </w:r>
    </w:p>
    <w:p w:rsidR="00070C9F" w:rsidRDefault="00070C9F"/>
    <w:p w:rsidR="00547D15" w:rsidRDefault="00547D15">
      <w:r>
        <w:t xml:space="preserve">Notation and definitions from </w:t>
      </w:r>
      <w:proofErr w:type="spellStart"/>
      <w:r>
        <w:t>Kolen</w:t>
      </w:r>
      <w:proofErr w:type="spellEnd"/>
      <w:r>
        <w:t xml:space="preserve">, M.J., Tong, Y., &amp; Brennan, R.L. (2011). Scoring and scaling educational tests. </w:t>
      </w:r>
      <w:r w:rsidR="004D1B85">
        <w:t xml:space="preserve">In A.A. von </w:t>
      </w:r>
      <w:proofErr w:type="spellStart"/>
      <w:r w:rsidR="004D1B85">
        <w:t>Davier</w:t>
      </w:r>
      <w:proofErr w:type="spellEnd"/>
      <w:r w:rsidR="004D1B85">
        <w:t xml:space="preserve"> (Ed.), </w:t>
      </w:r>
      <w:r w:rsidR="004D1B85" w:rsidRPr="004D1B85">
        <w:rPr>
          <w:i/>
        </w:rPr>
        <w:t>Statistical models for test equating, scaling, and linking</w:t>
      </w:r>
      <w:r w:rsidR="004D1B85">
        <w:t>. New York, NY: Springer.</w:t>
      </w:r>
    </w:p>
    <w:p w:rsidR="00070C9F" w:rsidRDefault="00070C9F"/>
    <w:p w:rsidR="006030E8" w:rsidRDefault="006030E8"/>
    <w:p w:rsidR="009A086F" w:rsidRPr="009A086F" w:rsidRDefault="00547D15">
      <w:pPr>
        <w:rPr>
          <w:b/>
        </w:rPr>
      </w:pPr>
      <w:r>
        <w:rPr>
          <w:b/>
        </w:rPr>
        <w:t>TRADITIONAL SCORING</w:t>
      </w:r>
    </w:p>
    <w:p w:rsidR="009A086F" w:rsidRDefault="009A086F"/>
    <w:p w:rsidR="00070C9F" w:rsidRDefault="00070C9F">
      <w:r>
        <w:t>Item scores are combined in some way to create raw scores.</w:t>
      </w:r>
    </w:p>
    <w:p w:rsidR="00070C9F" w:rsidRDefault="00070C9F"/>
    <w:p w:rsidR="00070C9F" w:rsidRDefault="00070C9F">
      <w:r>
        <w:t>Scaling is the process of assigning numeric values to test taker performance as a result of educational or psychological tests.</w:t>
      </w:r>
    </w:p>
    <w:p w:rsidR="00070C9F" w:rsidRDefault="00070C9F"/>
    <w:p w:rsidR="00070C9F" w:rsidRDefault="00070C9F">
      <w:r>
        <w:t>A score scale is then produced to report scale scores for test takers.</w:t>
      </w:r>
    </w:p>
    <w:p w:rsidR="00070C9F" w:rsidRDefault="00070C9F"/>
    <w:p w:rsidR="00070C9F" w:rsidRPr="002F409A" w:rsidRDefault="00070C9F">
      <w:r>
        <w:t>Summed score</w:t>
      </w:r>
      <w:r w:rsidR="002F409A">
        <w:t xml:space="preserve"> X across </w:t>
      </w:r>
      <w:r w:rsidR="002F409A">
        <w:rPr>
          <w:i/>
        </w:rPr>
        <w:t>n</w:t>
      </w:r>
      <w:r w:rsidR="002F409A">
        <w:t xml:space="preserve"> items</w:t>
      </w:r>
    </w:p>
    <w:p w:rsidR="00070C9F" w:rsidRPr="002F409A" w:rsidRDefault="00070C9F">
      <m:oMathPara>
        <m:oMathParaPr>
          <m:jc m:val="left"/>
        </m:oMathParaPr>
        <m:oMath>
          <m:r>
            <w:rPr>
              <w:rFonts w:ascii="Cambria Math" w:hAnsi="Cambria Math"/>
            </w:rPr>
            <m:t>X=</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V</m:t>
                  </m:r>
                </m:e>
                <m:sub>
                  <m:r>
                    <w:rPr>
                      <w:rFonts w:ascii="Cambria Math" w:hAnsi="Cambria Math"/>
                    </w:rPr>
                    <m:t>i</m:t>
                  </m:r>
                </m:sub>
              </m:sSub>
            </m:e>
          </m:nary>
        </m:oMath>
      </m:oMathPara>
    </w:p>
    <w:p w:rsidR="00070C9F" w:rsidRDefault="00070C9F"/>
    <w:p w:rsidR="002F409A" w:rsidRDefault="002F409A"/>
    <w:p w:rsidR="002F409A" w:rsidRDefault="002F409A">
      <w:r>
        <w:t xml:space="preserve">Weighted summed score, </w:t>
      </w:r>
      <w:proofErr w:type="spellStart"/>
      <w:r>
        <w:t>Xw</w:t>
      </w:r>
      <w:proofErr w:type="spellEnd"/>
    </w:p>
    <w:p w:rsidR="002F409A" w:rsidRPr="002F409A" w:rsidRDefault="00096CFD">
      <m:oMathPara>
        <m:oMathParaPr>
          <m:jc m:val="left"/>
        </m:oMathParaPr>
        <m:oMath>
          <m:sSub>
            <m:sSubPr>
              <m:ctrlPr>
                <w:rPr>
                  <w:rFonts w:ascii="Cambria Math" w:hAnsi="Cambria Math"/>
                  <w:i/>
                </w:rPr>
              </m:ctrlPr>
            </m:sSubPr>
            <m:e>
              <m:r>
                <w:rPr>
                  <w:rFonts w:ascii="Cambria Math" w:hAnsi="Cambria Math"/>
                </w:rPr>
                <m:t>X</m:t>
              </m:r>
            </m:e>
            <m:sub>
              <m:r>
                <w:rPr>
                  <w:rFonts w:ascii="Cambria Math" w:hAnsi="Cambria Math"/>
                </w:rPr>
                <m:t>w</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
                <m:sSubPr>
                  <m:ctrlPr>
                    <w:rPr>
                      <w:rFonts w:ascii="Cambria Math" w:hAnsi="Cambria Math"/>
                      <w:i/>
                    </w:rPr>
                  </m:ctrlPr>
                </m:sSubPr>
                <m:e>
                  <m:r>
                    <w:rPr>
                      <w:rFonts w:ascii="Cambria Math" w:hAnsi="Cambria Math"/>
                    </w:rPr>
                    <m:t>V</m:t>
                  </m:r>
                </m:e>
                <m:sub>
                  <m:r>
                    <w:rPr>
                      <w:rFonts w:ascii="Cambria Math" w:hAnsi="Cambria Math"/>
                    </w:rPr>
                    <m:t>i</m:t>
                  </m:r>
                </m:sub>
              </m:sSub>
            </m:e>
          </m:nary>
        </m:oMath>
      </m:oMathPara>
    </w:p>
    <w:p w:rsidR="002F409A" w:rsidRDefault="002F409A"/>
    <w:p w:rsidR="002F409A" w:rsidRDefault="002F409A"/>
    <w:p w:rsidR="002F409A" w:rsidRPr="009A086F" w:rsidRDefault="009A086F">
      <w:pPr>
        <w:rPr>
          <w:b/>
        </w:rPr>
      </w:pPr>
      <w:r w:rsidRPr="009A086F">
        <w:rPr>
          <w:b/>
        </w:rPr>
        <w:t>IRT SCORING</w:t>
      </w:r>
    </w:p>
    <w:p w:rsidR="009A086F" w:rsidRDefault="009A086F"/>
    <w:p w:rsidR="009A086F" w:rsidRDefault="009A086F">
      <w:pPr>
        <w:rPr>
          <w:rFonts w:eastAsiaTheme="minorEastAsia"/>
        </w:rPr>
      </w:pPr>
      <w:r>
        <w:t xml:space="preserve">Maximum Likelihood Scoring of </w:t>
      </w:r>
      <m:oMath>
        <m:sSub>
          <m:sSubPr>
            <m:ctrlPr>
              <w:rPr>
                <w:rFonts w:ascii="Cambria Math" w:hAnsi="Cambria Math"/>
                <w:i/>
              </w:rPr>
            </m:ctrlPr>
          </m:sSubPr>
          <m:e>
            <m:acc>
              <m:accPr>
                <m:ctrlPr>
                  <w:rPr>
                    <w:rFonts w:ascii="Cambria Math" w:hAnsi="Cambria Math"/>
                    <w:i/>
                  </w:rPr>
                </m:ctrlPr>
              </m:accPr>
              <m:e>
                <m:r>
                  <m:rPr>
                    <m:sty m:val="p"/>
                  </m:rPr>
                  <w:rPr>
                    <w:rFonts w:ascii="Cambria Math" w:hAnsi="Cambria Math"/>
                  </w:rPr>
                  <m:t>θ</m:t>
                </m:r>
              </m:e>
            </m:acc>
          </m:e>
          <m:sub>
            <m:r>
              <w:rPr>
                <w:rFonts w:ascii="Cambria Math" w:hAnsi="Cambria Math"/>
              </w:rPr>
              <m:t>MLE</m:t>
            </m:r>
          </m:sub>
        </m:sSub>
      </m:oMath>
    </w:p>
    <w:p w:rsidR="009A086F" w:rsidRDefault="009A086F"/>
    <w:p w:rsidR="009A086F" w:rsidRPr="009A086F" w:rsidRDefault="009A086F">
      <m:oMathPara>
        <m:oMathParaPr>
          <m:jc m:val="left"/>
        </m:oMathParaPr>
        <m:oMath>
          <m:r>
            <w:rPr>
              <w:rFonts w:ascii="Cambria Math" w:hAnsi="Cambria Math"/>
            </w:rPr>
            <m:t>L=</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r>
                <m:rPr>
                  <m:sty m:val="p"/>
                </m:rPr>
                <w:rPr>
                  <w:rFonts w:ascii="Cambria Math" w:hAnsi="Cambria Math"/>
                </w:rPr>
                <m:t>θ</m:t>
              </m:r>
              <m:r>
                <w:rPr>
                  <w:rFonts w:ascii="Cambria Math" w:hAnsi="Cambria Math"/>
                </w:rPr>
                <m:t>)</m:t>
              </m:r>
            </m:e>
          </m:nary>
        </m:oMath>
      </m:oMathPara>
    </w:p>
    <w:p w:rsidR="002F409A" w:rsidRDefault="002F409A"/>
    <w:p w:rsidR="009A086F" w:rsidRPr="009839BC" w:rsidRDefault="009A086F">
      <w:pPr>
        <w:rPr>
          <w:i/>
        </w:rPr>
      </w:pPr>
      <w:r w:rsidRPr="009839BC">
        <w:rPr>
          <w:i/>
        </w:rPr>
        <w:t>Employing the Test Characteristic Function</w:t>
      </w:r>
      <w:r w:rsidR="005334E5">
        <w:rPr>
          <w:i/>
        </w:rPr>
        <w:t xml:space="preserve"> for Summed Scores</w:t>
      </w:r>
    </w:p>
    <w:p w:rsidR="009A086F" w:rsidRDefault="009A086F"/>
    <w:p w:rsidR="009A086F" w:rsidRDefault="009A086F">
      <w:r>
        <w:t>The item response function</w:t>
      </w:r>
      <w:r w:rsidR="00547D15">
        <w:t xml:space="preserve"> employing summed scores</w:t>
      </w:r>
      <w:r>
        <w:t xml:space="preserve"> </w:t>
      </w:r>
      <w:proofErr w:type="gramStart"/>
      <w:r>
        <w:t>is defined</w:t>
      </w:r>
      <w:proofErr w:type="gramEnd"/>
      <w:r>
        <w:t xml:space="preserve"> as:</w:t>
      </w:r>
    </w:p>
    <w:p w:rsidR="009A086F" w:rsidRDefault="009A086F"/>
    <w:p w:rsidR="009A086F" w:rsidRPr="009839BC" w:rsidRDefault="00096CFD">
      <m:oMathPara>
        <m:oMathParaPr>
          <m:jc m:val="left"/>
        </m:oMathParaPr>
        <m:oMath>
          <m:sSub>
            <m:sSubPr>
              <m:ctrlPr>
                <w:rPr>
                  <w:rFonts w:ascii="Cambria Math" w:hAnsi="Cambria Math"/>
                  <w:i/>
                </w:rPr>
              </m:ctrlPr>
            </m:sSubPr>
            <m:e>
              <m:r>
                <m:rPr>
                  <m:sty m:val="p"/>
                </m:rPr>
                <w:rPr>
                  <w:rFonts w:ascii="Cambria Math" w:hAnsi="Cambria Math"/>
                </w:rPr>
                <m:t>τ</m:t>
              </m:r>
            </m:e>
            <m:sub>
              <m:r>
                <w:rPr>
                  <w:rFonts w:ascii="Cambria Math" w:hAnsi="Cambria Math"/>
                </w:rPr>
                <m:t>i</m:t>
              </m:r>
            </m:sub>
          </m:sSub>
          <m:r>
            <w:rPr>
              <w:rFonts w:ascii="Cambria Math" w:hAnsi="Cambria Math"/>
            </w:rPr>
            <m:t>(</m:t>
          </m:r>
          <m:r>
            <m:rPr>
              <m:sty m:val="p"/>
            </m:rPr>
            <w:rPr>
              <w:rFonts w:ascii="Cambria Math" w:hAnsi="Cambria Math"/>
            </w:rPr>
            <m:t>θ</m:t>
          </m:r>
          <m:r>
            <w:rPr>
              <w:rFonts w:ascii="Cambria Math" w:hAnsi="Cambria Math"/>
            </w:rPr>
            <m:t>)=</m:t>
          </m:r>
          <m:nary>
            <m:naryPr>
              <m:chr m:val="∑"/>
              <m:limLoc m:val="undOvr"/>
              <m:ctrlPr>
                <w:rPr>
                  <w:rFonts w:ascii="Cambria Math" w:hAnsi="Cambria Math"/>
                  <w:i/>
                </w:rPr>
              </m:ctrlPr>
            </m:naryPr>
            <m:sub>
              <m:r>
                <w:rPr>
                  <w:rFonts w:ascii="Cambria Math" w:hAnsi="Cambria Math"/>
                </w:rPr>
                <m:t>k=1</m:t>
              </m:r>
            </m:sub>
            <m:sup>
              <m:sSub>
                <m:sSubPr>
                  <m:ctrlPr>
                    <w:rPr>
                      <w:rFonts w:ascii="Cambria Math" w:hAnsi="Cambria Math"/>
                      <w:i/>
                    </w:rPr>
                  </m:ctrlPr>
                </m:sSubPr>
                <m:e>
                  <m:r>
                    <w:rPr>
                      <w:rFonts w:ascii="Cambria Math" w:hAnsi="Cambria Math"/>
                    </w:rPr>
                    <m:t>m</m:t>
                  </m:r>
                </m:e>
                <m:sub>
                  <m:r>
                    <w:rPr>
                      <w:rFonts w:ascii="Cambria Math" w:hAnsi="Cambria Math"/>
                    </w:rPr>
                    <m:t>i</m:t>
                  </m:r>
                </m:sub>
              </m:sSub>
            </m:sup>
            <m:e>
              <m:sSub>
                <m:sSubPr>
                  <m:ctrlPr>
                    <w:rPr>
                      <w:rFonts w:ascii="Cambria Math" w:hAnsi="Cambria Math"/>
                      <w:i/>
                    </w:rPr>
                  </m:ctrlPr>
                </m:sSubPr>
                <m:e>
                  <m:r>
                    <w:rPr>
                      <w:rFonts w:ascii="Cambria Math" w:hAnsi="Cambria Math"/>
                    </w:rPr>
                    <m:t>W</m:t>
                  </m:r>
                </m:e>
                <m:sub>
                  <m:r>
                    <w:rPr>
                      <w:rFonts w:ascii="Cambria Math" w:hAnsi="Cambria Math"/>
                    </w:rPr>
                    <m:t>ik</m:t>
                  </m:r>
                </m:sub>
              </m:sSub>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=k|</m:t>
              </m:r>
              <m:r>
                <m:rPr>
                  <m:sty m:val="p"/>
                </m:rPr>
                <w:rPr>
                  <w:rFonts w:ascii="Cambria Math" w:hAnsi="Cambria Math"/>
                </w:rPr>
                <m:t>θ</m:t>
              </m:r>
              <m:r>
                <w:rPr>
                  <w:rFonts w:ascii="Cambria Math" w:hAnsi="Cambria Math"/>
                </w:rPr>
                <m:t>)</m:t>
              </m:r>
            </m:e>
          </m:nary>
        </m:oMath>
      </m:oMathPara>
    </w:p>
    <w:p w:rsidR="009A086F" w:rsidRDefault="009A086F"/>
    <w:p w:rsidR="00547D15" w:rsidRPr="00547D15" w:rsidRDefault="005334E5">
      <w:r>
        <w:t xml:space="preserve">Where </w:t>
      </w:r>
      <w:proofErr w:type="spellStart"/>
      <w:r>
        <w:t>W</w:t>
      </w:r>
      <w:r w:rsidR="000E2D31">
        <w:rPr>
          <w:i/>
          <w:vertAlign w:val="subscript"/>
        </w:rPr>
        <w:t>ik</w:t>
      </w:r>
      <w:proofErr w:type="spellEnd"/>
      <w:r>
        <w:t xml:space="preserve"> is the score associated with item </w:t>
      </w:r>
      <w:proofErr w:type="spellStart"/>
      <w:r w:rsidRPr="005334E5">
        <w:rPr>
          <w:i/>
        </w:rPr>
        <w:t>i</w:t>
      </w:r>
      <w:proofErr w:type="spellEnd"/>
      <w:r>
        <w:t xml:space="preserve"> and category </w:t>
      </w:r>
      <w:r w:rsidRPr="005334E5">
        <w:rPr>
          <w:i/>
        </w:rPr>
        <w:t>k</w:t>
      </w:r>
      <w:r>
        <w:t>, t</w:t>
      </w:r>
      <w:r w:rsidR="00547D15">
        <w:t xml:space="preserve">his expresses the expected score on item </w:t>
      </w:r>
      <w:proofErr w:type="spellStart"/>
      <w:r w:rsidR="00547D15">
        <w:rPr>
          <w:i/>
        </w:rPr>
        <w:t>i</w:t>
      </w:r>
      <w:proofErr w:type="spellEnd"/>
      <w:r w:rsidR="00547D15">
        <w:t xml:space="preserve"> for a test taker with ability </w:t>
      </w:r>
      <w:r w:rsidR="00547D15">
        <w:rPr>
          <w:rFonts w:cs="Times New Roman"/>
        </w:rPr>
        <w:t>θ</w:t>
      </w:r>
      <w:r w:rsidR="00547D15">
        <w:t>.</w:t>
      </w:r>
    </w:p>
    <w:p w:rsidR="009839BC" w:rsidRDefault="009839BC">
      <w:r>
        <w:lastRenderedPageBreak/>
        <w:t>The test characteristics function is the sum of the item response functions across items:</w:t>
      </w:r>
    </w:p>
    <w:p w:rsidR="009839BC" w:rsidRDefault="009839BC"/>
    <w:p w:rsidR="009839BC" w:rsidRPr="00352454" w:rsidRDefault="000E2D31">
      <w:pPr>
        <w:rPr>
          <w:rFonts w:eastAsiaTheme="minorEastAsia"/>
        </w:rPr>
      </w:pPr>
      <m:oMathPara>
        <m:oMathParaPr>
          <m:jc m:val="left"/>
        </m:oMathParaPr>
        <m:oMath>
          <m:r>
            <m:rPr>
              <m:sty m:val="p"/>
            </m:rPr>
            <w:rPr>
              <w:rFonts w:ascii="Cambria Math" w:hAnsi="Cambria Math"/>
            </w:rPr>
            <m:t>τ(θ</m:t>
          </m:r>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m:rPr>
                      <m:sty m:val="p"/>
                    </m:rPr>
                    <w:rPr>
                      <w:rFonts w:ascii="Cambria Math" w:hAnsi="Cambria Math"/>
                    </w:rPr>
                    <m:t>τ</m:t>
                  </m:r>
                </m:e>
                <m:sub>
                  <m:r>
                    <w:rPr>
                      <w:rFonts w:ascii="Cambria Math" w:hAnsi="Cambria Math"/>
                    </w:rPr>
                    <m:t>i</m:t>
                  </m:r>
                </m:sub>
              </m:sSub>
              <m:r>
                <w:rPr>
                  <w:rFonts w:ascii="Cambria Math" w:hAnsi="Cambria Math"/>
                </w:rPr>
                <m:t>(</m:t>
              </m:r>
              <m:r>
                <m:rPr>
                  <m:sty m:val="p"/>
                </m:rPr>
                <w:rPr>
                  <w:rFonts w:ascii="Cambria Math" w:hAnsi="Cambria Math"/>
                </w:rPr>
                <m:t>θ</m:t>
              </m:r>
              <m:r>
                <w:rPr>
                  <w:rFonts w:ascii="Cambria Math" w:hAnsi="Cambria Math"/>
                </w:rPr>
                <m:t>)</m:t>
              </m:r>
            </m:e>
          </m:nary>
        </m:oMath>
      </m:oMathPara>
    </w:p>
    <w:p w:rsidR="00352454" w:rsidRPr="009839BC" w:rsidRDefault="00352454"/>
    <w:p w:rsidR="009839BC" w:rsidRDefault="009839BC">
      <w:r>
        <w:t xml:space="preserve">This provides the true score for a test taker with ability of </w:t>
      </w:r>
      <w:r>
        <w:rPr>
          <w:rFonts w:cs="Times New Roman"/>
        </w:rPr>
        <w:t xml:space="preserve">θ. A weighted TCF can also be defined with </w:t>
      </w:r>
      <w:proofErr w:type="spellStart"/>
      <w:proofErr w:type="gramStart"/>
      <w:r w:rsidRPr="009839BC">
        <w:rPr>
          <w:rFonts w:cs="Times New Roman"/>
          <w:i/>
        </w:rPr>
        <w:t>w</w:t>
      </w:r>
      <w:r w:rsidRPr="009839BC">
        <w:rPr>
          <w:rFonts w:cs="Times New Roman"/>
          <w:i/>
          <w:vertAlign w:val="subscript"/>
        </w:rPr>
        <w:t>i</w:t>
      </w:r>
      <w:proofErr w:type="spellEnd"/>
      <w:proofErr w:type="gramEnd"/>
      <w:r>
        <w:rPr>
          <w:rFonts w:cs="Times New Roman"/>
        </w:rPr>
        <w:t xml:space="preserve">. An ability estimate based on a summed score </w:t>
      </w:r>
      <w:proofErr w:type="gramStart"/>
      <w:r>
        <w:rPr>
          <w:rFonts w:cs="Times New Roman"/>
        </w:rPr>
        <w:t>can be found</w:t>
      </w:r>
      <w:proofErr w:type="gramEnd"/>
      <w:r>
        <w:rPr>
          <w:rFonts w:cs="Times New Roman"/>
        </w:rPr>
        <w:t xml:space="preserve"> by replacing </w:t>
      </w:r>
      <m:oMath>
        <m:r>
          <m:rPr>
            <m:sty m:val="p"/>
          </m:rPr>
          <w:rPr>
            <w:rFonts w:ascii="Cambria Math" w:hAnsi="Cambria Math"/>
          </w:rPr>
          <m:t>τ(θ)</m:t>
        </m:r>
      </m:oMath>
      <w:r>
        <w:rPr>
          <w:rFonts w:eastAsiaTheme="minorEastAsia" w:cs="Times New Roman"/>
        </w:rPr>
        <w:t xml:space="preserve"> with the summed score an</w:t>
      </w:r>
      <w:r w:rsidR="00FB0A37">
        <w:rPr>
          <w:rFonts w:eastAsiaTheme="minorEastAsia" w:cs="Times New Roman"/>
        </w:rPr>
        <w:t>d</w:t>
      </w:r>
      <w:r>
        <w:rPr>
          <w:rFonts w:eastAsiaTheme="minorEastAsia" w:cs="Times New Roman"/>
        </w:rPr>
        <w:t xml:space="preserve"> solving for </w:t>
      </w:r>
      <w:r>
        <w:rPr>
          <w:rFonts w:cs="Times New Roman"/>
        </w:rPr>
        <w:t>θ.</w:t>
      </w:r>
    </w:p>
    <w:p w:rsidR="009A086F" w:rsidRDefault="009A086F"/>
    <w:p w:rsidR="009A086F" w:rsidRDefault="009839BC">
      <w:pPr>
        <w:rPr>
          <w:rFonts w:eastAsiaTheme="minorEastAsia"/>
        </w:rPr>
      </w:pPr>
      <w:r>
        <w:t xml:space="preserve">The resulting score </w:t>
      </w:r>
      <w:proofErr w:type="gramStart"/>
      <w:r>
        <w:t xml:space="preserve">is </w:t>
      </w:r>
      <w:proofErr w:type="gramEnd"/>
      <m:oMath>
        <m:sSub>
          <m:sSubPr>
            <m:ctrlPr>
              <w:rPr>
                <w:rFonts w:ascii="Cambria Math" w:hAnsi="Cambria Math"/>
                <w:i/>
              </w:rPr>
            </m:ctrlPr>
          </m:sSubPr>
          <m:e>
            <m:acc>
              <m:accPr>
                <m:ctrlPr>
                  <w:rPr>
                    <w:rFonts w:ascii="Cambria Math" w:hAnsi="Cambria Math"/>
                    <w:i/>
                  </w:rPr>
                </m:ctrlPr>
              </m:accPr>
              <m:e>
                <m:r>
                  <m:rPr>
                    <m:sty m:val="p"/>
                  </m:rPr>
                  <w:rPr>
                    <w:rFonts w:ascii="Cambria Math" w:hAnsi="Cambria Math"/>
                  </w:rPr>
                  <m:t>θ</m:t>
                </m:r>
              </m:e>
            </m:acc>
          </m:e>
          <m:sub>
            <m:r>
              <w:rPr>
                <w:rFonts w:ascii="Cambria Math" w:hAnsi="Cambria Math"/>
              </w:rPr>
              <m:t>TCF</m:t>
            </m:r>
          </m:sub>
        </m:sSub>
      </m:oMath>
      <w:r>
        <w:rPr>
          <w:rFonts w:eastAsiaTheme="minorEastAsia"/>
        </w:rPr>
        <w:t>.</w:t>
      </w:r>
    </w:p>
    <w:p w:rsidR="009A6399" w:rsidRDefault="009A6399">
      <w:pPr>
        <w:rPr>
          <w:rFonts w:eastAsiaTheme="minorEastAsia"/>
        </w:rPr>
      </w:pPr>
    </w:p>
    <w:p w:rsidR="009A6399" w:rsidRDefault="009A6399">
      <w:pPr>
        <w:rPr>
          <w:rFonts w:eastAsiaTheme="minorEastAsia"/>
        </w:rPr>
      </w:pPr>
      <w:r w:rsidRPr="009A6399">
        <w:rPr>
          <w:rFonts w:eastAsiaTheme="minorEastAsia"/>
          <w:i/>
        </w:rPr>
        <w:t>Note</w:t>
      </w:r>
      <w:r>
        <w:rPr>
          <w:rFonts w:eastAsiaTheme="minorEastAsia"/>
        </w:rPr>
        <w:t>: The estimates above do not depend on the population ability distribution. However, extreme scores do not exist. In addition, summed scores below the sum of the lower asymptote parameters do not exist. Bayesian estimators do exist in these cases, but they also depend on the population ability distribution.</w:t>
      </w:r>
    </w:p>
    <w:p w:rsidR="009839BC" w:rsidRDefault="009839BC"/>
    <w:p w:rsidR="007E45A4" w:rsidRPr="009A6399" w:rsidRDefault="007E45A4">
      <w:pPr>
        <w:rPr>
          <w:b/>
        </w:rPr>
      </w:pPr>
      <w:r w:rsidRPr="009A6399">
        <w:rPr>
          <w:b/>
        </w:rPr>
        <w:t>Bayesian Scoring</w:t>
      </w:r>
      <w:r w:rsidR="009A6399">
        <w:rPr>
          <w:b/>
        </w:rPr>
        <w:t xml:space="preserve"> with complicated pattern scoring</w:t>
      </w:r>
    </w:p>
    <w:p w:rsidR="007E45A4" w:rsidRDefault="007E45A4"/>
    <w:p w:rsidR="009839BC" w:rsidRDefault="007E45A4">
      <w:r>
        <w:t>With the specification of a population ability distribution (</w:t>
      </w:r>
      <w:r>
        <w:rPr>
          <w:rFonts w:cs="Times New Roman"/>
        </w:rPr>
        <w:t>θ</w:t>
      </w:r>
      <w:r>
        <w:t xml:space="preserve">), we estimate </w:t>
      </w:r>
      <m:oMath>
        <m:sSub>
          <m:sSubPr>
            <m:ctrlPr>
              <w:rPr>
                <w:rFonts w:ascii="Cambria Math" w:hAnsi="Cambria Math"/>
                <w:i/>
              </w:rPr>
            </m:ctrlPr>
          </m:sSubPr>
          <m:e>
            <m:acc>
              <m:accPr>
                <m:ctrlPr>
                  <w:rPr>
                    <w:rFonts w:ascii="Cambria Math" w:hAnsi="Cambria Math"/>
                    <w:i/>
                  </w:rPr>
                </m:ctrlPr>
              </m:accPr>
              <m:e>
                <m:r>
                  <m:rPr>
                    <m:sty m:val="p"/>
                  </m:rPr>
                  <w:rPr>
                    <w:rFonts w:ascii="Cambria Math" w:hAnsi="Cambria Math"/>
                  </w:rPr>
                  <m:t>θ</m:t>
                </m:r>
              </m:e>
            </m:acc>
          </m:e>
          <m:sub>
            <m:r>
              <w:rPr>
                <w:rFonts w:ascii="Cambria Math" w:hAnsi="Cambria Math"/>
              </w:rPr>
              <m:t>BME</m:t>
            </m:r>
          </m:sub>
        </m:sSub>
      </m:oMath>
    </w:p>
    <w:p w:rsidR="007E45A4" w:rsidRDefault="007E45A4"/>
    <w:p w:rsidR="007E45A4" w:rsidRPr="007E45A4" w:rsidRDefault="007E45A4">
      <m:oMathPara>
        <m:oMathParaPr>
          <m:jc m:val="left"/>
        </m:oMathParaPr>
        <m:oMath>
          <m:r>
            <w:rPr>
              <w:rFonts w:ascii="Cambria Math" w:hAnsi="Cambria Math"/>
            </w:rPr>
            <m:t>L∙g(</m:t>
          </m:r>
          <m:r>
            <m:rPr>
              <m:sty m:val="p"/>
            </m:rPr>
            <w:rPr>
              <w:rFonts w:ascii="Cambria Math" w:hAnsi="Cambria Math"/>
            </w:rPr>
            <m:t>θ</m:t>
          </m:r>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r>
                <m:rPr>
                  <m:sty m:val="p"/>
                </m:rPr>
                <w:rPr>
                  <w:rFonts w:ascii="Cambria Math" w:hAnsi="Cambria Math"/>
                </w:rPr>
                <m:t>θ</m:t>
              </m:r>
              <m:r>
                <w:rPr>
                  <w:rFonts w:ascii="Cambria Math" w:hAnsi="Cambria Math"/>
                </w:rPr>
                <m:t>)∙g(</m:t>
              </m:r>
              <m:r>
                <m:rPr>
                  <m:sty m:val="p"/>
                </m:rPr>
                <w:rPr>
                  <w:rFonts w:ascii="Cambria Math" w:hAnsi="Cambria Math"/>
                </w:rPr>
                <m:t>θ</m:t>
              </m:r>
              <m:r>
                <w:rPr>
                  <w:rFonts w:ascii="Cambria Math" w:hAnsi="Cambria Math"/>
                </w:rPr>
                <m:t>)</m:t>
              </m:r>
            </m:e>
          </m:nary>
        </m:oMath>
      </m:oMathPara>
    </w:p>
    <w:p w:rsidR="007E45A4" w:rsidRDefault="007E45A4"/>
    <w:p w:rsidR="007E45A4" w:rsidRDefault="007E45A4">
      <w:r>
        <w:t>For the expected a posteriori (EAP) estimator is the mean of the posterior distribution,</w:t>
      </w:r>
    </w:p>
    <w:p w:rsidR="007E45A4" w:rsidRPr="007E45A4" w:rsidRDefault="00096CFD">
      <m:oMath>
        <m:sSub>
          <m:sSubPr>
            <m:ctrlPr>
              <w:rPr>
                <w:rFonts w:ascii="Cambria Math" w:hAnsi="Cambria Math"/>
                <w:i/>
              </w:rPr>
            </m:ctrlPr>
          </m:sSubPr>
          <m:e>
            <m:acc>
              <m:accPr>
                <m:ctrlPr>
                  <w:rPr>
                    <w:rFonts w:ascii="Cambria Math" w:hAnsi="Cambria Math"/>
                    <w:i/>
                  </w:rPr>
                </m:ctrlPr>
              </m:accPr>
              <m:e>
                <m:r>
                  <m:rPr>
                    <m:sty m:val="p"/>
                  </m:rPr>
                  <w:rPr>
                    <w:rFonts w:ascii="Cambria Math" w:hAnsi="Cambria Math"/>
                  </w:rPr>
                  <m:t>θ</m:t>
                </m:r>
              </m:e>
            </m:acc>
          </m:e>
          <m:sub>
            <m:r>
              <w:rPr>
                <w:rFonts w:ascii="Cambria Math" w:hAnsi="Cambria Math"/>
              </w:rPr>
              <m:t>EAP</m:t>
            </m:r>
          </m:sub>
        </m:sSub>
      </m:oMath>
      <w:r w:rsidR="007E45A4">
        <w:rPr>
          <w:rFonts w:eastAsiaTheme="minorEastAsia"/>
        </w:rPr>
        <w:t xml:space="preserve"> = </w:t>
      </w:r>
      <w:proofErr w:type="gramStart"/>
      <w:r w:rsidR="007E45A4">
        <w:rPr>
          <w:rFonts w:eastAsiaTheme="minorEastAsia"/>
          <w:i/>
        </w:rPr>
        <w:t>E</w:t>
      </w:r>
      <w:r w:rsidR="007E45A4">
        <w:rPr>
          <w:rFonts w:eastAsiaTheme="minorEastAsia"/>
        </w:rPr>
        <w:t>(</w:t>
      </w:r>
      <w:proofErr w:type="gramEnd"/>
      <w:r w:rsidR="007E45A4">
        <w:rPr>
          <w:rFonts w:cs="Times New Roman"/>
        </w:rPr>
        <w:t>θ</w:t>
      </w:r>
      <w:r w:rsidR="007E45A4">
        <w:t>|V</w:t>
      </w:r>
      <w:r w:rsidR="007E45A4" w:rsidRPr="007E45A4">
        <w:rPr>
          <w:vertAlign w:val="subscript"/>
        </w:rPr>
        <w:t>1</w:t>
      </w:r>
      <w:r w:rsidR="007E45A4">
        <w:t>=v</w:t>
      </w:r>
      <w:r w:rsidR="007E45A4" w:rsidRPr="007E45A4">
        <w:rPr>
          <w:vertAlign w:val="subscript"/>
        </w:rPr>
        <w:t>1</w:t>
      </w:r>
      <w:r w:rsidR="007E45A4">
        <w:t>, V</w:t>
      </w:r>
      <w:r w:rsidR="007E45A4" w:rsidRPr="007E45A4">
        <w:rPr>
          <w:vertAlign w:val="subscript"/>
        </w:rPr>
        <w:t>2</w:t>
      </w:r>
      <w:r w:rsidR="007E45A4">
        <w:t>=v</w:t>
      </w:r>
      <w:r w:rsidR="007E45A4" w:rsidRPr="007E45A4">
        <w:rPr>
          <w:vertAlign w:val="subscript"/>
        </w:rPr>
        <w:t>2</w:t>
      </w:r>
      <w:r w:rsidR="007E45A4">
        <w:t xml:space="preserve">, …, </w:t>
      </w:r>
      <w:proofErr w:type="spellStart"/>
      <w:r w:rsidR="007E45A4">
        <w:t>V</w:t>
      </w:r>
      <w:r w:rsidR="007E45A4" w:rsidRPr="007E45A4">
        <w:rPr>
          <w:vertAlign w:val="subscript"/>
        </w:rPr>
        <w:t>n</w:t>
      </w:r>
      <w:proofErr w:type="spellEnd"/>
      <w:r w:rsidR="007E45A4">
        <w:t>=</w:t>
      </w:r>
      <w:proofErr w:type="spellStart"/>
      <w:r w:rsidR="007E45A4">
        <w:t>v</w:t>
      </w:r>
      <w:r w:rsidR="007E45A4" w:rsidRPr="007E45A4">
        <w:rPr>
          <w:vertAlign w:val="subscript"/>
        </w:rPr>
        <w:t>n</w:t>
      </w:r>
      <w:proofErr w:type="spellEnd"/>
      <w:r w:rsidR="007E45A4">
        <w:t>)</w:t>
      </w:r>
    </w:p>
    <w:p w:rsidR="007E45A4" w:rsidRDefault="007E45A4"/>
    <w:p w:rsidR="009839BC" w:rsidRPr="00547D15" w:rsidRDefault="007E45A4">
      <w:pPr>
        <w:rPr>
          <w:b/>
        </w:rPr>
      </w:pPr>
      <w:r w:rsidRPr="00547D15">
        <w:rPr>
          <w:b/>
        </w:rPr>
        <w:t>Bayesian Scoring using summed scores</w:t>
      </w:r>
    </w:p>
    <w:p w:rsidR="007E45A4" w:rsidRDefault="007E45A4"/>
    <w:p w:rsidR="007E45A4" w:rsidRDefault="00096CFD">
      <m:oMath>
        <m:sSub>
          <m:sSubPr>
            <m:ctrlPr>
              <w:rPr>
                <w:rFonts w:ascii="Cambria Math" w:hAnsi="Cambria Math"/>
                <w:i/>
              </w:rPr>
            </m:ctrlPr>
          </m:sSubPr>
          <m:e>
            <m:acc>
              <m:accPr>
                <m:ctrlPr>
                  <w:rPr>
                    <w:rFonts w:ascii="Cambria Math" w:hAnsi="Cambria Math"/>
                    <w:i/>
                  </w:rPr>
                </m:ctrlPr>
              </m:accPr>
              <m:e>
                <m:r>
                  <m:rPr>
                    <m:sty m:val="p"/>
                  </m:rPr>
                  <w:rPr>
                    <w:rFonts w:ascii="Cambria Math" w:hAnsi="Cambria Math"/>
                  </w:rPr>
                  <m:t>θ</m:t>
                </m:r>
              </m:e>
            </m:acc>
          </m:e>
          <m:sub>
            <m:r>
              <w:rPr>
                <w:rFonts w:ascii="Cambria Math" w:hAnsi="Cambria Math"/>
              </w:rPr>
              <m:t>sEAP</m:t>
            </m:r>
          </m:sub>
        </m:sSub>
      </m:oMath>
      <w:r w:rsidR="007E45A4">
        <w:rPr>
          <w:rFonts w:eastAsiaTheme="minorEastAsia"/>
        </w:rPr>
        <w:t xml:space="preserve"> = </w:t>
      </w:r>
      <w:proofErr w:type="gramStart"/>
      <w:r w:rsidR="007E45A4">
        <w:rPr>
          <w:rFonts w:eastAsiaTheme="minorEastAsia"/>
          <w:i/>
        </w:rPr>
        <w:t>E</w:t>
      </w:r>
      <w:r w:rsidR="007E45A4">
        <w:rPr>
          <w:rFonts w:eastAsiaTheme="minorEastAsia"/>
        </w:rPr>
        <w:t>(</w:t>
      </w:r>
      <w:proofErr w:type="spellStart"/>
      <w:proofErr w:type="gramEnd"/>
      <w:r w:rsidR="007E45A4">
        <w:rPr>
          <w:rFonts w:cs="Times New Roman"/>
        </w:rPr>
        <w:t>θ</w:t>
      </w:r>
      <w:r w:rsidR="007E45A4">
        <w:t>|X</w:t>
      </w:r>
      <w:proofErr w:type="spellEnd"/>
      <w:r w:rsidR="007E45A4">
        <w:t>)</w:t>
      </w:r>
    </w:p>
    <w:p w:rsidR="007E45A4" w:rsidRDefault="007E45A4"/>
    <w:p w:rsidR="005334E5" w:rsidRDefault="005334E5">
      <w:r>
        <w:t>This requires the use of a recursive algorithm that estimates the probability of obtaining a given summed score given ability, calculated from item parameter estimates.</w:t>
      </w:r>
    </w:p>
    <w:p w:rsidR="007E45A4" w:rsidRDefault="007E45A4"/>
    <w:p w:rsidR="009A6399" w:rsidRPr="00604A54" w:rsidRDefault="009A6399">
      <w:pPr>
        <w:rPr>
          <w:b/>
          <w:i/>
        </w:rPr>
      </w:pPr>
      <w:r w:rsidRPr="00604A54">
        <w:rPr>
          <w:b/>
          <w:i/>
        </w:rPr>
        <w:t>Linear Transformations</w:t>
      </w:r>
    </w:p>
    <w:p w:rsidR="009A6399" w:rsidRDefault="009A6399"/>
    <w:p w:rsidR="009A6399" w:rsidRDefault="009A6399">
      <w:r>
        <w:t xml:space="preserve">It is possible to use linear transformations by </w:t>
      </w:r>
      <w:r w:rsidR="00547D15">
        <w:t>directly linearly transforming IRT ability estimates. Nonlinear transformations are also possible, but the transformation is complicated for Bayesian estimates.</w:t>
      </w:r>
    </w:p>
    <w:p w:rsidR="00604A54" w:rsidRDefault="00604A54"/>
    <w:p w:rsidR="00604A54" w:rsidRDefault="00604A54">
      <w:r>
        <w:t>To transform raw scores (</w:t>
      </w:r>
      <w:r w:rsidRPr="00604A54">
        <w:rPr>
          <w:i/>
        </w:rPr>
        <w:t>y</w:t>
      </w:r>
      <w:r>
        <w:t>) to a desired scale score (</w:t>
      </w:r>
      <w:proofErr w:type="spellStart"/>
      <w:r w:rsidRPr="00604A54">
        <w:rPr>
          <w:i/>
        </w:rPr>
        <w:t>sc</w:t>
      </w:r>
      <w:proofErr w:type="spellEnd"/>
      <w:r>
        <w:t>) distribution:</w:t>
      </w:r>
    </w:p>
    <w:p w:rsidR="00604A54" w:rsidRDefault="00604A54"/>
    <w:p w:rsidR="00604A54" w:rsidRPr="00604A54" w:rsidRDefault="00604A54">
      <w:pPr>
        <w:rPr>
          <w:rFonts w:eastAsiaTheme="minorEastAsia"/>
        </w:rPr>
      </w:pPr>
      <m:oMathPara>
        <m:oMath>
          <m:r>
            <w:rPr>
              <w:rFonts w:ascii="Cambria Math" w:hAnsi="Cambria Math"/>
            </w:rPr>
            <m:t>sc</m:t>
          </m:r>
          <m:d>
            <m:dPr>
              <m:ctrlPr>
                <w:rPr>
                  <w:rFonts w:ascii="Cambria Math" w:hAnsi="Cambria Math"/>
                  <w:i/>
                </w:rPr>
              </m:ctrlPr>
            </m:dPr>
            <m:e>
              <m:r>
                <w:rPr>
                  <w:rFonts w:ascii="Cambria Math" w:hAnsi="Cambria Math"/>
                </w:rPr>
                <m:t>y</m:t>
              </m:r>
            </m:e>
          </m:d>
          <m:r>
            <w:rPr>
              <w:rFonts w:ascii="Cambria Math" w:hAnsi="Cambria Math"/>
            </w:rPr>
            <m:t>=</m:t>
          </m:r>
          <m:f>
            <m:fPr>
              <m:ctrlPr>
                <w:rPr>
                  <w:rFonts w:ascii="Cambria Math" w:hAnsi="Cambria Math"/>
                  <w:i/>
                </w:rPr>
              </m:ctrlPr>
            </m:fPr>
            <m:num>
              <m:r>
                <m:rPr>
                  <m:sty m:val="p"/>
                </m:rPr>
                <w:rPr>
                  <w:rFonts w:ascii="Cambria Math" w:hAnsi="Cambria Math"/>
                </w:rPr>
                <m:t>σ</m:t>
              </m:r>
              <m:r>
                <w:rPr>
                  <w:rFonts w:ascii="Cambria Math" w:hAnsi="Cambria Math"/>
                </w:rPr>
                <m:t>(sc)</m:t>
              </m:r>
            </m:num>
            <m:den>
              <m:r>
                <m:rPr>
                  <m:sty m:val="p"/>
                </m:rPr>
                <w:rPr>
                  <w:rFonts w:ascii="Cambria Math" w:hAnsi="Cambria Math"/>
                </w:rPr>
                <m:t>σ</m:t>
              </m:r>
              <m:r>
                <m:rPr>
                  <m:sty m:val="p"/>
                </m:rPr>
                <w:rPr>
                  <w:rFonts w:ascii="Cambria Math" w:hAnsi="Cambria Math"/>
                </w:rPr>
                <m:t>(Y)</m:t>
              </m:r>
            </m:den>
          </m:f>
          <m:r>
            <w:rPr>
              <w:rFonts w:ascii="Cambria Math" w:hAnsi="Cambria Math"/>
            </w:rPr>
            <m:t>y+</m:t>
          </m:r>
          <m:d>
            <m:dPr>
              <m:begChr m:val="["/>
              <m:endChr m:val="]"/>
              <m:ctrlPr>
                <w:rPr>
                  <w:rFonts w:ascii="Cambria Math" w:hAnsi="Cambria Math"/>
                  <w:i/>
                </w:rPr>
              </m:ctrlPr>
            </m:dPr>
            <m:e>
              <m:r>
                <m:rPr>
                  <m:sty m:val="p"/>
                </m:rPr>
                <w:rPr>
                  <w:rFonts w:ascii="Cambria Math" w:hAnsi="Cambria Math"/>
                </w:rPr>
                <m:t>μ</m:t>
              </m:r>
              <m:d>
                <m:dPr>
                  <m:ctrlPr>
                    <w:rPr>
                      <w:rFonts w:ascii="Cambria Math" w:hAnsi="Cambria Math"/>
                      <w:i/>
                    </w:rPr>
                  </m:ctrlPr>
                </m:dPr>
                <m:e>
                  <m:r>
                    <w:rPr>
                      <w:rFonts w:ascii="Cambria Math" w:hAnsi="Cambria Math"/>
                    </w:rPr>
                    <m:t>sc</m:t>
                  </m:r>
                </m:e>
              </m:d>
              <m:r>
                <w:rPr>
                  <w:rFonts w:ascii="Cambria Math" w:hAnsi="Cambria Math"/>
                </w:rPr>
                <m:t>-</m:t>
              </m:r>
              <m:f>
                <m:fPr>
                  <m:ctrlPr>
                    <w:rPr>
                      <w:rFonts w:ascii="Cambria Math" w:hAnsi="Cambria Math"/>
                      <w:i/>
                    </w:rPr>
                  </m:ctrlPr>
                </m:fPr>
                <m:num>
                  <m:r>
                    <m:rPr>
                      <m:sty m:val="p"/>
                    </m:rPr>
                    <w:rPr>
                      <w:rFonts w:ascii="Cambria Math" w:hAnsi="Cambria Math"/>
                    </w:rPr>
                    <m:t>σ</m:t>
                  </m:r>
                  <m:d>
                    <m:dPr>
                      <m:ctrlPr>
                        <w:rPr>
                          <w:rFonts w:ascii="Cambria Math" w:hAnsi="Cambria Math"/>
                          <w:i/>
                        </w:rPr>
                      </m:ctrlPr>
                    </m:dPr>
                    <m:e>
                      <m:r>
                        <w:rPr>
                          <w:rFonts w:ascii="Cambria Math" w:hAnsi="Cambria Math"/>
                        </w:rPr>
                        <m:t>sc</m:t>
                      </m:r>
                    </m:e>
                  </m:d>
                </m:num>
                <m:den>
                  <m:r>
                    <m:rPr>
                      <m:sty m:val="p"/>
                    </m:rPr>
                    <w:rPr>
                      <w:rFonts w:ascii="Cambria Math" w:hAnsi="Cambria Math"/>
                    </w:rPr>
                    <m:t>σ</m:t>
                  </m:r>
                  <m:d>
                    <m:dPr>
                      <m:ctrlPr>
                        <w:rPr>
                          <w:rFonts w:ascii="Cambria Math" w:hAnsi="Cambria Math"/>
                        </w:rPr>
                      </m:ctrlPr>
                    </m:dPr>
                    <m:e>
                      <m:r>
                        <m:rPr>
                          <m:sty m:val="p"/>
                        </m:rPr>
                        <w:rPr>
                          <w:rFonts w:ascii="Cambria Math" w:hAnsi="Cambria Math"/>
                        </w:rPr>
                        <m:t>Y</m:t>
                      </m:r>
                    </m:e>
                  </m:d>
                </m:den>
              </m:f>
              <m:r>
                <m:rPr>
                  <m:sty m:val="p"/>
                </m:rPr>
                <w:rPr>
                  <w:rFonts w:ascii="Cambria Math" w:hAnsi="Cambria Math"/>
                </w:rPr>
                <m:t>μ</m:t>
              </m:r>
              <m:r>
                <w:rPr>
                  <w:rFonts w:ascii="Cambria Math" w:hAnsi="Cambria Math"/>
                </w:rPr>
                <m:t>(Y)</m:t>
              </m:r>
            </m:e>
          </m:d>
          <m:r>
            <w:rPr>
              <w:rFonts w:ascii="Cambria Math" w:eastAsiaTheme="minorEastAsia" w:hAnsi="Cambria Math"/>
            </w:rPr>
            <m:t xml:space="preserve">  or =</m:t>
          </m:r>
          <m:r>
            <m:rPr>
              <m:sty m:val="p"/>
            </m:rPr>
            <w:rPr>
              <w:rFonts w:ascii="Cambria Math" w:hAnsi="Cambria Math"/>
            </w:rPr>
            <m:t>σ</m:t>
          </m:r>
          <m:r>
            <w:rPr>
              <w:rFonts w:ascii="Cambria Math" w:hAnsi="Cambria Math"/>
            </w:rPr>
            <m:t>(sc)</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Y</m:t>
              </m:r>
            </m:sub>
          </m:sSub>
          <m:r>
            <w:rPr>
              <w:rFonts w:ascii="Cambria Math" w:eastAsiaTheme="minorEastAsia" w:hAnsi="Cambria Math"/>
            </w:rPr>
            <m:t>+</m:t>
          </m:r>
          <m:r>
            <m:rPr>
              <m:sty m:val="p"/>
            </m:rPr>
            <w:rPr>
              <w:rFonts w:ascii="Cambria Math" w:hAnsi="Cambria Math"/>
            </w:rPr>
            <m:t>μ</m:t>
          </m:r>
          <m:d>
            <m:dPr>
              <m:ctrlPr>
                <w:rPr>
                  <w:rFonts w:ascii="Cambria Math" w:hAnsi="Cambria Math"/>
                  <w:i/>
                </w:rPr>
              </m:ctrlPr>
            </m:dPr>
            <m:e>
              <m:r>
                <w:rPr>
                  <w:rFonts w:ascii="Cambria Math" w:hAnsi="Cambria Math"/>
                </w:rPr>
                <m:t>sc</m:t>
              </m:r>
            </m:e>
          </m:d>
        </m:oMath>
      </m:oMathPara>
    </w:p>
    <w:p w:rsidR="00604A54" w:rsidRDefault="00604A54">
      <w:pPr>
        <w:rPr>
          <w:rFonts w:eastAsiaTheme="minorEastAsia"/>
        </w:rPr>
      </w:pPr>
    </w:p>
    <w:p w:rsidR="00604A54" w:rsidRDefault="00604A54">
      <w:pPr>
        <w:rPr>
          <w:rFonts w:eastAsiaTheme="minorEastAsia"/>
        </w:rPr>
      </w:pPr>
    </w:p>
    <w:p w:rsidR="00604A54" w:rsidRDefault="00604A54">
      <w:pPr>
        <w:rPr>
          <w:rFonts w:eastAsiaTheme="minorEastAsia"/>
        </w:rPr>
      </w:pPr>
      <w:r>
        <w:rPr>
          <w:rFonts w:eastAsiaTheme="minorEastAsia"/>
        </w:rPr>
        <w:t xml:space="preserve">Linearly transformed score scales based on the standard error of measurement can be created to support </w:t>
      </w:r>
      <w:proofErr w:type="gramStart"/>
      <w:r>
        <w:rPr>
          <w:rFonts w:eastAsiaTheme="minorEastAsia"/>
        </w:rPr>
        <w:t>more appropriate score</w:t>
      </w:r>
      <w:proofErr w:type="gramEnd"/>
      <w:r>
        <w:rPr>
          <w:rFonts w:eastAsiaTheme="minorEastAsia"/>
        </w:rPr>
        <w:t xml:space="preserve"> interpretation:</w:t>
      </w:r>
    </w:p>
    <w:p w:rsidR="00604A54" w:rsidRDefault="00604A54">
      <w:pPr>
        <w:rPr>
          <w:rFonts w:eastAsiaTheme="minorEastAsia"/>
        </w:rPr>
      </w:pPr>
    </w:p>
    <w:p w:rsidR="00604A54" w:rsidRDefault="00604A54">
      <w:pPr>
        <w:rPr>
          <w:rFonts w:eastAsiaTheme="minorEastAsia"/>
        </w:rPr>
      </w:pPr>
      <m:oMathPara>
        <m:oMath>
          <m:r>
            <w:rPr>
              <w:rFonts w:ascii="Cambria Math" w:hAnsi="Cambria Math"/>
            </w:rPr>
            <m:t>sc</m:t>
          </m:r>
          <m:d>
            <m:dPr>
              <m:ctrlPr>
                <w:rPr>
                  <w:rFonts w:ascii="Cambria Math" w:hAnsi="Cambria Math"/>
                  <w:i/>
                </w:rPr>
              </m:ctrlPr>
            </m:dPr>
            <m:e>
              <m:r>
                <w:rPr>
                  <w:rFonts w:ascii="Cambria Math" w:hAnsi="Cambria Math"/>
                </w:rPr>
                <m:t>y</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sem</m:t>
                  </m:r>
                </m:e>
                <m:sub>
                  <m:r>
                    <w:rPr>
                      <w:rFonts w:ascii="Cambria Math" w:hAnsi="Cambria Math"/>
                    </w:rPr>
                    <m:t>sc</m:t>
                  </m:r>
                </m:sub>
              </m:sSub>
            </m:num>
            <m:den>
              <m:sSub>
                <m:sSubPr>
                  <m:ctrlPr>
                    <w:rPr>
                      <w:rFonts w:ascii="Cambria Math" w:hAnsi="Cambria Math"/>
                      <w:i/>
                    </w:rPr>
                  </m:ctrlPr>
                </m:sSubPr>
                <m:e>
                  <m:r>
                    <w:rPr>
                      <w:rFonts w:ascii="Cambria Math" w:hAnsi="Cambria Math"/>
                    </w:rPr>
                    <m:t>sem</m:t>
                  </m:r>
                </m:e>
                <m:sub>
                  <m:r>
                    <w:rPr>
                      <w:rFonts w:ascii="Cambria Math" w:hAnsi="Cambria Math"/>
                    </w:rPr>
                    <m:t>y</m:t>
                  </m:r>
                </m:sub>
              </m:sSub>
            </m:den>
          </m:f>
          <m:r>
            <w:rPr>
              <w:rFonts w:ascii="Cambria Math" w:hAnsi="Cambria Math"/>
            </w:rPr>
            <m:t>y+</m:t>
          </m:r>
          <m:d>
            <m:dPr>
              <m:begChr m:val="["/>
              <m:endChr m:val="]"/>
              <m:ctrlPr>
                <w:rPr>
                  <w:rFonts w:ascii="Cambria Math" w:hAnsi="Cambria Math"/>
                  <w:i/>
                </w:rPr>
              </m:ctrlPr>
            </m:dPr>
            <m:e>
              <m:r>
                <w:rPr>
                  <w:rFonts w:ascii="Cambria Math" w:hAnsi="Cambria Math"/>
                </w:rPr>
                <m:t>sc(</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sem</m:t>
                      </m:r>
                    </m:e>
                    <m:sub>
                      <m:r>
                        <w:rPr>
                          <w:rFonts w:ascii="Cambria Math" w:hAnsi="Cambria Math"/>
                        </w:rPr>
                        <m:t>sc</m:t>
                      </m:r>
                    </m:sub>
                  </m:sSub>
                </m:num>
                <m:den>
                  <m:sSub>
                    <m:sSubPr>
                      <m:ctrlPr>
                        <w:rPr>
                          <w:rFonts w:ascii="Cambria Math" w:hAnsi="Cambria Math"/>
                          <w:i/>
                        </w:rPr>
                      </m:ctrlPr>
                    </m:sSubPr>
                    <m:e>
                      <m:r>
                        <w:rPr>
                          <w:rFonts w:ascii="Cambria Math" w:hAnsi="Cambria Math"/>
                        </w:rPr>
                        <m:t>sem</m:t>
                      </m:r>
                    </m:e>
                    <m:sub>
                      <m:r>
                        <w:rPr>
                          <w:rFonts w:ascii="Cambria Math" w:hAnsi="Cambria Math"/>
                        </w:rPr>
                        <m:t>y</m:t>
                      </m:r>
                    </m:sub>
                  </m:sSub>
                </m:den>
              </m:f>
              <m:sSub>
                <m:sSubPr>
                  <m:ctrlPr>
                    <w:rPr>
                      <w:rFonts w:ascii="Cambria Math" w:hAnsi="Cambria Math"/>
                      <w:i/>
                    </w:rPr>
                  </m:ctrlPr>
                </m:sSubPr>
                <m:e>
                  <m:r>
                    <w:rPr>
                      <w:rFonts w:ascii="Cambria Math" w:hAnsi="Cambria Math"/>
                    </w:rPr>
                    <m:t>y</m:t>
                  </m:r>
                </m:e>
                <m:sub>
                  <m:r>
                    <w:rPr>
                      <w:rFonts w:ascii="Cambria Math" w:hAnsi="Cambria Math"/>
                    </w:rPr>
                    <m:t>1</m:t>
                  </m:r>
                </m:sub>
              </m:sSub>
            </m:e>
          </m:d>
        </m:oMath>
      </m:oMathPara>
    </w:p>
    <w:p w:rsidR="00604A54" w:rsidRDefault="00604A54">
      <w:pPr>
        <w:rPr>
          <w:rFonts w:eastAsiaTheme="minorEastAsia"/>
        </w:rPr>
      </w:pPr>
    </w:p>
    <w:p w:rsidR="00604A54" w:rsidRDefault="00604A54" w:rsidP="00604A54">
      <w:r>
        <w:t xml:space="preserve">In this case, let </w:t>
      </w:r>
      <w:r w:rsidRPr="00285D8B">
        <w:rPr>
          <w:i/>
        </w:rPr>
        <w:t>y</w:t>
      </w:r>
      <w:r w:rsidRPr="00285D8B">
        <w:rPr>
          <w:vertAlign w:val="subscript"/>
        </w:rPr>
        <w:t>1</w:t>
      </w:r>
      <w:r>
        <w:t xml:space="preserve"> be a raw score and </w:t>
      </w:r>
      <w:proofErr w:type="spellStart"/>
      <w:r w:rsidRPr="00285D8B">
        <w:rPr>
          <w:i/>
        </w:rPr>
        <w:t>sc</w:t>
      </w:r>
      <w:proofErr w:type="spellEnd"/>
      <w:r>
        <w:t>(</w:t>
      </w:r>
      <w:r w:rsidRPr="00285D8B">
        <w:rPr>
          <w:i/>
        </w:rPr>
        <w:t>y</w:t>
      </w:r>
      <w:r w:rsidRPr="00285D8B">
        <w:rPr>
          <w:vertAlign w:val="subscript"/>
        </w:rPr>
        <w:t>1</w:t>
      </w:r>
      <w:r>
        <w:t>) be</w:t>
      </w:r>
      <w:r>
        <w:t xml:space="preserve"> its scale score equivalent, </w:t>
      </w:r>
      <w:r>
        <w:t xml:space="preserve">where </w:t>
      </w:r>
      <w:proofErr w:type="spellStart"/>
      <w:r w:rsidRPr="00285D8B">
        <w:rPr>
          <w:i/>
        </w:rPr>
        <w:t>sem</w:t>
      </w:r>
      <w:r w:rsidRPr="00285D8B">
        <w:rPr>
          <w:i/>
          <w:vertAlign w:val="subscript"/>
        </w:rPr>
        <w:t>sc</w:t>
      </w:r>
      <w:proofErr w:type="spellEnd"/>
      <w:r>
        <w:t xml:space="preserve"> is the desired average scale score standard error of measurement, </w:t>
      </w:r>
      <w:proofErr w:type="spellStart"/>
      <w:r w:rsidRPr="00285D8B">
        <w:rPr>
          <w:i/>
        </w:rPr>
        <w:t>sem</w:t>
      </w:r>
      <w:r w:rsidRPr="00285D8B">
        <w:rPr>
          <w:i/>
          <w:vertAlign w:val="subscript"/>
        </w:rPr>
        <w:t>y</w:t>
      </w:r>
      <w:proofErr w:type="spellEnd"/>
      <w:r>
        <w:t xml:space="preserve"> </w:t>
      </w:r>
      <w:r>
        <w:t>is the average raw score st</w:t>
      </w:r>
      <w:r w:rsidR="00285D8B">
        <w:t>andard error of measurement.</w:t>
      </w:r>
    </w:p>
    <w:p w:rsidR="00285D8B" w:rsidRDefault="00285D8B" w:rsidP="00604A54"/>
    <w:p w:rsidR="00285D8B" w:rsidRDefault="00285D8B" w:rsidP="00604A54"/>
    <w:p w:rsidR="00285D8B" w:rsidRDefault="00285D8B" w:rsidP="00604A54">
      <w:r>
        <w:rPr>
          <w:b/>
        </w:rPr>
        <w:t>Incorporating Content Information</w:t>
      </w:r>
    </w:p>
    <w:p w:rsidR="00285D8B" w:rsidRDefault="00285D8B" w:rsidP="00604A54"/>
    <w:p w:rsidR="00285D8B" w:rsidRPr="00285D8B" w:rsidRDefault="00285D8B" w:rsidP="00604A54">
      <w:pPr>
        <w:rPr>
          <w:i/>
        </w:rPr>
      </w:pPr>
      <w:r w:rsidRPr="00285D8B">
        <w:rPr>
          <w:i/>
        </w:rPr>
        <w:t>Item Mapping</w:t>
      </w:r>
    </w:p>
    <w:p w:rsidR="00285D8B" w:rsidRDefault="00285D8B" w:rsidP="00604A54"/>
    <w:p w:rsidR="00285D8B" w:rsidRDefault="00285D8B" w:rsidP="00285D8B">
      <w:r>
        <w:t xml:space="preserve">To enhance the meaning of the scale scores, items </w:t>
      </w:r>
      <w:proofErr w:type="gramStart"/>
      <w:r>
        <w:t>are found</w:t>
      </w:r>
      <w:proofErr w:type="gramEnd"/>
      <w:r>
        <w:t xml:space="preserve"> that</w:t>
      </w:r>
      <w:r>
        <w:t xml:space="preserve"> </w:t>
      </w:r>
      <w:r>
        <w:t>represent various scale score points, and these representative items are reported to</w:t>
      </w:r>
      <w:r>
        <w:t xml:space="preserve"> </w:t>
      </w:r>
      <w:r>
        <w:t>test users.</w:t>
      </w:r>
      <w:r>
        <w:t xml:space="preserve"> …</w:t>
      </w:r>
      <w:r>
        <w:t>One choice made in item mapping is the response probability (RP) level, which is</w:t>
      </w:r>
      <w:r>
        <w:t xml:space="preserve"> </w:t>
      </w:r>
      <w:r>
        <w:t>the probability of a correct response that is associated with mastery for all items on</w:t>
      </w:r>
      <w:r>
        <w:t xml:space="preserve"> </w:t>
      </w:r>
      <w:r>
        <w:t xml:space="preserve">a test, expressed as a percentage. The mastery level for a specific item </w:t>
      </w:r>
      <w:proofErr w:type="gramStart"/>
      <w:r>
        <w:t>is defined</w:t>
      </w:r>
      <w:proofErr w:type="gramEnd"/>
      <w:r>
        <w:t xml:space="preserve"> as</w:t>
      </w:r>
      <w:r>
        <w:t xml:space="preserve"> </w:t>
      </w:r>
      <w:r>
        <w:t>the sc</w:t>
      </w:r>
      <w:bookmarkStart w:id="0" w:name="_GoBack"/>
      <w:bookmarkEnd w:id="0"/>
      <w:r>
        <w:t>ale score for which the probability times 100 of correctly answering the item</w:t>
      </w:r>
      <w:r>
        <w:t xml:space="preserve"> </w:t>
      </w:r>
      <w:r>
        <w:t>equals the RP level.</w:t>
      </w:r>
      <w:r>
        <w:t xml:space="preserve"> (p. 414)</w:t>
      </w:r>
    </w:p>
    <w:p w:rsidR="00285D8B" w:rsidRDefault="00285D8B" w:rsidP="00285D8B"/>
    <w:p w:rsidR="00285D8B" w:rsidRPr="00285D8B" w:rsidRDefault="00285D8B" w:rsidP="00285D8B">
      <w:pPr>
        <w:rPr>
          <w:i/>
        </w:rPr>
      </w:pPr>
      <w:r w:rsidRPr="00285D8B">
        <w:rPr>
          <w:i/>
        </w:rPr>
        <w:t>Scale Anchoring</w:t>
      </w:r>
    </w:p>
    <w:p w:rsidR="00285D8B" w:rsidRDefault="00285D8B" w:rsidP="00285D8B"/>
    <w:p w:rsidR="00285D8B" w:rsidRDefault="00285D8B" w:rsidP="00285D8B">
      <w:r>
        <w:t>The goal of scale anchoring is to provide general statements of what students</w:t>
      </w:r>
      <w:r>
        <w:t>,</w:t>
      </w:r>
      <w:r>
        <w:t xml:space="preserve"> who</w:t>
      </w:r>
      <w:r>
        <w:t xml:space="preserve"> </w:t>
      </w:r>
      <w:r>
        <w:t>score at each o</w:t>
      </w:r>
      <w:r>
        <w:t>f a selected set of scale score</w:t>
      </w:r>
      <w:r>
        <w:t xml:space="preserve"> points</w:t>
      </w:r>
      <w:r>
        <w:t>,</w:t>
      </w:r>
      <w:r>
        <w:t xml:space="preserve"> know and are able to do.</w:t>
      </w:r>
      <w:r>
        <w:t xml:space="preserve"> </w:t>
      </w:r>
      <w:r>
        <w:t>Subject matter experts review the items that map</w:t>
      </w:r>
      <w:r>
        <w:t xml:space="preserve"> </w:t>
      </w:r>
      <w:r>
        <w:t>near each point and attempt to develop general statements that represent the skills of</w:t>
      </w:r>
      <w:r>
        <w:t xml:space="preserve"> </w:t>
      </w:r>
      <w:r>
        <w:t>examinees scoring at these points. In scale anchoring, it is assumed that examinees</w:t>
      </w:r>
      <w:r>
        <w:t xml:space="preserve"> </w:t>
      </w:r>
      <w:r>
        <w:t>know and are able to do all of the skills in the statements at or below a given score</w:t>
      </w:r>
      <w:r>
        <w:t xml:space="preserve"> </w:t>
      </w:r>
      <w:r>
        <w:t>level.</w:t>
      </w:r>
      <w:r>
        <w:t xml:space="preserve"> (p. 415)</w:t>
      </w:r>
    </w:p>
    <w:p w:rsidR="00285D8B" w:rsidRDefault="00285D8B" w:rsidP="00285D8B"/>
    <w:p w:rsidR="00285D8B" w:rsidRDefault="00285D8B" w:rsidP="00285D8B">
      <w:r>
        <w:rPr>
          <w:i/>
        </w:rPr>
        <w:t>Standard Setting</w:t>
      </w:r>
    </w:p>
    <w:p w:rsidR="00285D8B" w:rsidRDefault="00285D8B" w:rsidP="00285D8B"/>
    <w:p w:rsidR="00285D8B" w:rsidRPr="00285D8B" w:rsidRDefault="00285D8B" w:rsidP="00285D8B">
      <w:r>
        <w:t>Standard setting begins with a statement of what competent examinees know and</w:t>
      </w:r>
      <w:r>
        <w:t xml:space="preserve"> </w:t>
      </w:r>
      <w:r>
        <w:t>are able to do. Standard setting methods are an attempt to find the score point that</w:t>
      </w:r>
      <w:r>
        <w:t xml:space="preserve"> </w:t>
      </w:r>
      <w:r>
        <w:t xml:space="preserve">divides those examinees who know and are able to do what </w:t>
      </w:r>
      <w:proofErr w:type="gramStart"/>
      <w:r>
        <w:t>is stated</w:t>
      </w:r>
      <w:proofErr w:type="gramEnd"/>
      <w:r>
        <w:t xml:space="preserve"> from the other</w:t>
      </w:r>
      <w:r>
        <w:t xml:space="preserve"> </w:t>
      </w:r>
      <w:r>
        <w:t>examinees.</w:t>
      </w:r>
      <w:r>
        <w:t xml:space="preserve"> (p. 417)</w:t>
      </w:r>
    </w:p>
    <w:p w:rsidR="00285D8B" w:rsidRDefault="00285D8B" w:rsidP="00285D8B"/>
    <w:p w:rsidR="00285D8B" w:rsidRPr="00285D8B" w:rsidRDefault="00285D8B" w:rsidP="00285D8B"/>
    <w:sectPr w:rsidR="00285D8B" w:rsidRPr="00285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9F"/>
    <w:rsid w:val="00012040"/>
    <w:rsid w:val="00070C9F"/>
    <w:rsid w:val="00096CFD"/>
    <w:rsid w:val="000E2D31"/>
    <w:rsid w:val="000F21ED"/>
    <w:rsid w:val="00285D8B"/>
    <w:rsid w:val="002F409A"/>
    <w:rsid w:val="00352454"/>
    <w:rsid w:val="004D1B85"/>
    <w:rsid w:val="005334E5"/>
    <w:rsid w:val="00547D15"/>
    <w:rsid w:val="005A27C5"/>
    <w:rsid w:val="006030E8"/>
    <w:rsid w:val="00604A54"/>
    <w:rsid w:val="007E45A4"/>
    <w:rsid w:val="009839BC"/>
    <w:rsid w:val="009A086F"/>
    <w:rsid w:val="009A6399"/>
    <w:rsid w:val="00A04768"/>
    <w:rsid w:val="00FB0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D43D"/>
  <w15:chartTrackingRefBased/>
  <w15:docId w15:val="{5C106B9B-5557-4FEF-9220-1BCDBBAA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C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Minnesota - TC</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 Rodriguez</dc:creator>
  <cp:keywords/>
  <dc:description/>
  <cp:lastModifiedBy>Michael C Rodriguez</cp:lastModifiedBy>
  <cp:revision>2</cp:revision>
  <dcterms:created xsi:type="dcterms:W3CDTF">2020-03-30T05:48:00Z</dcterms:created>
  <dcterms:modified xsi:type="dcterms:W3CDTF">2020-03-30T05:48:00Z</dcterms:modified>
</cp:coreProperties>
</file>